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2929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</w:t>
      </w:r>
      <w:r w:rsidR="009E01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ПЕРША</w:t>
      </w:r>
      <w:r w:rsidR="004848D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652646" w:rsidRDefault="00545153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26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.07.2024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652646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="0018492A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545153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4</w:t>
      </w:r>
      <w:r w:rsidR="000D4ACE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674</w:t>
      </w:r>
      <w:r w:rsidRPr="00545153">
        <w:rPr>
          <w:rStyle w:val="docdata"/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Pr="00545153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61-VIІІ</w:t>
      </w:r>
    </w:p>
    <w:p w:rsidR="0018492A" w:rsidRPr="00652646" w:rsidRDefault="0018492A" w:rsidP="00184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32FDD" w:rsidRPr="00D5340F" w:rsidRDefault="00724694" w:rsidP="00D5340F">
      <w:pPr>
        <w:tabs>
          <w:tab w:val="left" w:pos="6946"/>
        </w:tabs>
        <w:spacing w:after="0" w:line="240" w:lineRule="auto"/>
        <w:ind w:right="3968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Про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погодження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«УКРПАЛЕТ ЕНЕР</w:t>
      </w:r>
      <w:r w:rsidR="00751D37">
        <w:rPr>
          <w:rFonts w:ascii="Times New Roman" w:hAnsi="Times New Roman" w:cs="Times New Roman"/>
          <w:b/>
          <w:iCs/>
          <w:sz w:val="28"/>
          <w:szCs w:val="28"/>
          <w:lang w:val="uk-UA"/>
        </w:rPr>
        <w:t>Д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ЖИ» (код ЄДРПОУ 41286292)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для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цілей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будівництва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розміщення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когенераційного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обладнання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малої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середньої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потужності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(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розподіленої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генерації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)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1</w:t>
      </w:r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МВт та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більше</w:t>
      </w:r>
      <w:proofErr w:type="spellEnd"/>
      <w:r w:rsidRPr="00D5340F">
        <w:rPr>
          <w:rFonts w:ascii="Times New Roman" w:hAnsi="Times New Roman" w:cs="Times New Roman"/>
          <w:iCs/>
          <w:color w:val="333333"/>
          <w:sz w:val="28"/>
          <w:szCs w:val="28"/>
          <w:highlight w:val="white"/>
        </w:rPr>
        <w:t xml:space="preserve"> </w:t>
      </w:r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до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її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вилучення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викупу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чи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відведення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в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установленому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b/>
          <w:iCs/>
          <w:sz w:val="28"/>
          <w:szCs w:val="28"/>
        </w:rPr>
        <w:t>законодавством</w:t>
      </w:r>
      <w:proofErr w:type="spellEnd"/>
      <w:r w:rsidRPr="00D5340F">
        <w:rPr>
          <w:rFonts w:ascii="Times New Roman" w:hAnsi="Times New Roman" w:cs="Times New Roman"/>
          <w:b/>
          <w:iCs/>
          <w:sz w:val="28"/>
          <w:szCs w:val="28"/>
        </w:rPr>
        <w:t xml:space="preserve"> порядку</w:t>
      </w:r>
    </w:p>
    <w:p w:rsidR="00724694" w:rsidRDefault="00724694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50F3C" w:rsidRPr="00652646" w:rsidRDefault="00D52429" w:rsidP="0051661C">
      <w:pPr>
        <w:spacing w:after="0"/>
        <w:ind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Hlk171336044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метою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нейтралізації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загроз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енергетичній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безпеці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65264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сприянню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розподілених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енергоресурсів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відновлюваних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джерел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технологій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зменшують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шкідливі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викиди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збалансувати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D5340F">
        <w:rPr>
          <w:rFonts w:ascii="Times New Roman" w:hAnsi="Times New Roman" w:cs="Times New Roman"/>
          <w:sz w:val="28"/>
          <w:szCs w:val="28"/>
          <w:lang w:val="uk-UA"/>
        </w:rPr>
        <w:t xml:space="preserve">, а також забезпечити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посилення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стійкості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гнучкості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децентралізації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енергосистеми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перед початком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осінньо-зимового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періоду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2024/</w:t>
      </w:r>
      <w:r w:rsidR="00D5340F" w:rsidRPr="00D5340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D5340F" w:rsidRPr="00D5340F">
        <w:rPr>
          <w:rFonts w:ascii="Times New Roman" w:hAnsi="Times New Roman" w:cs="Times New Roman"/>
          <w:sz w:val="28"/>
          <w:szCs w:val="28"/>
        </w:rPr>
        <w:t xml:space="preserve">25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тепловою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електричною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енергією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критичної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застосування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графіків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відключення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суб’єктами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газопоршневих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газотурбінних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установок,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блочно-модульних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дизельних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бензинових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генераторів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потужністю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1 МВт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), 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з ними мереж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електро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-, тепло-,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вузлів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іншого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пов’язаного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="00BB6BE7" w:rsidRPr="00D534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«Про критичну інфраструктуру», «Про комбіноване виробництво теплової та електричної енергії (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когенерацію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) та використання скидного </w:t>
      </w:r>
      <w:proofErr w:type="spellStart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енергопотенціалу</w:t>
      </w:r>
      <w:proofErr w:type="spellEnd"/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D5340F" w:rsidRPr="00D5340F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остановою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07.12.2023 № 1320</w:t>
      </w:r>
      <w:r w:rsidR="00D5340F" w:rsidRPr="00D5340F">
        <w:rPr>
          <w:rFonts w:ascii="Times New Roman" w:eastAsia="Arial" w:hAnsi="Times New Roman" w:cs="Times New Roman"/>
          <w:color w:val="1D1D1B"/>
          <w:sz w:val="28"/>
          <w:szCs w:val="28"/>
          <w:highlight w:val="white"/>
        </w:rPr>
        <w:t xml:space="preserve"> </w:t>
      </w:r>
      <w:r w:rsidR="00D5340F" w:rsidRPr="00D534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питання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газопоршневих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газотурбінних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установок,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когенераційних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блочно-</w:t>
      </w:r>
      <w:r w:rsidR="00D5340F" w:rsidRPr="00D5340F">
        <w:rPr>
          <w:rFonts w:ascii="Times New Roman" w:hAnsi="Times New Roman" w:cs="Times New Roman"/>
          <w:sz w:val="28"/>
          <w:szCs w:val="28"/>
        </w:rPr>
        <w:lastRenderedPageBreak/>
        <w:t>модульних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дизельних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бензинових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газових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генераторів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5340F" w:rsidRPr="00D5340F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="00D5340F" w:rsidRPr="00D5340F">
        <w:rPr>
          <w:rFonts w:ascii="Times New Roman" w:hAnsi="Times New Roman" w:cs="Times New Roman"/>
          <w:sz w:val="28"/>
          <w:szCs w:val="28"/>
        </w:rPr>
        <w:t xml:space="preserve"> стану»</w:t>
      </w:r>
      <w:r w:rsidR="00D5340F">
        <w:rPr>
          <w:lang w:val="uk-UA"/>
        </w:rPr>
        <w:t xml:space="preserve">, </w:t>
      </w:r>
      <w:hyperlink r:id="rId7" w:anchor="n2" w:tgtFrame="_blank" w:history="1"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рішенням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Ради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національної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безпеки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і оборони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України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proofErr w:type="spellStart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від</w:t>
        </w:r>
        <w:proofErr w:type="spellEnd"/>
        <w:r w:rsidRPr="00652646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 xml:space="preserve"> 7 листопада 2023 року</w:t>
        </w:r>
      </w:hyperlink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="00BB6BE7" w:rsidRPr="0065264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Щодо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додаткових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заходів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із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підготовки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національної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економіки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осінньо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-зимовий </w:t>
      </w:r>
      <w:proofErr w:type="spellStart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>період</w:t>
      </w:r>
      <w:proofErr w:type="spellEnd"/>
      <w:r w:rsidRPr="00652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2023/24 року»</w:t>
      </w:r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указом Президента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07.11.2023 № 737, </w:t>
      </w:r>
      <w:r w:rsidR="00D92B3B" w:rsidRPr="00652646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 схваленою розпорядженням Кабінету Міністрів України</w:t>
      </w:r>
      <w:r w:rsidR="003922AC" w:rsidRPr="00652646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proofErr w:type="spellStart"/>
      <w:r w:rsidR="003922AC" w:rsidRPr="0065264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652646">
        <w:rPr>
          <w:rFonts w:ascii="Times New Roman" w:hAnsi="Times New Roman" w:cs="Times New Roman"/>
          <w:sz w:val="28"/>
          <w:szCs w:val="28"/>
        </w:rPr>
        <w:t xml:space="preserve"> </w:t>
      </w:r>
      <w:r w:rsidRPr="00652646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5264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52646">
        <w:rPr>
          <w:rFonts w:ascii="Times New Roman" w:hAnsi="Times New Roman" w:cs="Times New Roman"/>
          <w:sz w:val="28"/>
          <w:szCs w:val="28"/>
        </w:rPr>
        <w:t>»</w:t>
      </w:r>
      <w:bookmarkEnd w:id="0"/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65264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652646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18492A" w:rsidRPr="00652646" w:rsidRDefault="0018492A" w:rsidP="00280B20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:rsidR="0018492A" w:rsidRPr="00652646" w:rsidRDefault="0018492A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:rsidR="008D62A4" w:rsidRPr="00652646" w:rsidRDefault="008D62A4" w:rsidP="00280B20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4694" w:rsidRPr="00D5340F" w:rsidRDefault="00724694" w:rsidP="00D5340F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Погодити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«УКРПАЛЕТ ЕНЕР</w:t>
      </w:r>
      <w:r w:rsidR="00751D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>ЖИ»</w:t>
      </w:r>
      <w:r w:rsidRPr="00D5340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(код ЄДРПОУ 41286292)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земельних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ділянок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Бучанської міської </w:t>
      </w:r>
      <w:proofErr w:type="spellStart"/>
      <w:r w:rsidR="00C25D24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територіаної</w:t>
      </w:r>
      <w:proofErr w:type="spellEnd"/>
      <w:r w:rsidR="00C25D24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громади</w:t>
      </w:r>
      <w:r w:rsidR="001061B2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1061B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</w:t>
      </w:r>
      <w:proofErr w:type="spellStart"/>
      <w:r w:rsidR="001061B2">
        <w:rPr>
          <w:rFonts w:ascii="Times New Roman" w:hAnsi="Times New Roman" w:cs="Times New Roman"/>
          <w:color w:val="000000"/>
          <w:sz w:val="28"/>
          <w:szCs w:val="28"/>
          <w:lang w:val="uk-UA"/>
        </w:rPr>
        <w:t>адресою</w:t>
      </w:r>
      <w:proofErr w:type="spellEnd"/>
      <w:r w:rsidR="00C25D24" w:rsidRPr="00D5340F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C25D24" w:rsidRP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25D24">
        <w:rPr>
          <w:rFonts w:ascii="Times New Roman" w:hAnsi="Times New Roman"/>
          <w:sz w:val="28"/>
          <w:szCs w:val="28"/>
          <w:lang w:val="uk-UA"/>
        </w:rPr>
        <w:t>м. Буча, вул. Вишнева,3;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25D24">
        <w:rPr>
          <w:rFonts w:ascii="Times New Roman" w:hAnsi="Times New Roman"/>
          <w:sz w:val="28"/>
          <w:szCs w:val="28"/>
          <w:lang w:val="uk-UA"/>
        </w:rPr>
        <w:t>м. Буча, вул. Героїв Майдану, 15;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Буча,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Яблунська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203 Е;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Вокзальна, 104;</w:t>
      </w:r>
    </w:p>
    <w:p w:rsidR="00C25D24" w:rsidRDefault="001061B2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r w:rsidR="00C25D24">
        <w:rPr>
          <w:rFonts w:ascii="Times New Roman" w:hAnsi="Times New Roman"/>
          <w:sz w:val="28"/>
          <w:szCs w:val="28"/>
          <w:lang w:val="uk-UA"/>
        </w:rPr>
        <w:t>Буча, вул. Енергетиків, 4-А;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Стадіонна, 5-А;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Тарасівська, 32-А;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м. Буча, вул. Леха Качинського, 10;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с. Гаврилівка, вул. Садова, 1-А;</w:t>
      </w:r>
    </w:p>
    <w:p w:rsidR="00C25D24" w:rsidRDefault="00C25D24" w:rsidP="00D5340F">
      <w:pPr>
        <w:pStyle w:val="a8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Синяк,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вул.Київська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46-А</w:t>
      </w:r>
    </w:p>
    <w:p w:rsidR="00C25D24" w:rsidRPr="00C25D24" w:rsidRDefault="00C25D24" w:rsidP="00D5340F">
      <w:pPr>
        <w:pStyle w:val="a8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4694" w:rsidRDefault="00724694" w:rsidP="00D534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5D2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цілей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розміщення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когенераційного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малої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потужності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розподіленої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генерації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1 МВт та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вилучення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викупу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5D24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25D24">
        <w:rPr>
          <w:rFonts w:ascii="Times New Roman" w:hAnsi="Times New Roman" w:cs="Times New Roman"/>
          <w:sz w:val="28"/>
          <w:szCs w:val="28"/>
        </w:rPr>
        <w:t xml:space="preserve"> порядку</w:t>
      </w:r>
      <w:r w:rsidR="00D534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5340F" w:rsidRPr="00D5340F" w:rsidRDefault="00D5340F" w:rsidP="00D534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4694" w:rsidRPr="00D5340F" w:rsidRDefault="00724694" w:rsidP="00D5340F">
      <w:pPr>
        <w:pStyle w:val="a7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jdgxs"/>
      <w:bookmarkEnd w:id="1"/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Товариству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обмеженою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відповідальністю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«УКРПАЛЕТ ЕНЕР</w:t>
      </w:r>
      <w:r w:rsidR="00751D37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>ЖИ»</w:t>
      </w:r>
      <w:r w:rsidRPr="00D5340F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340F">
        <w:rPr>
          <w:rFonts w:ascii="Times New Roman" w:hAnsi="Times New Roman" w:cs="Times New Roman"/>
          <w:color w:val="000000"/>
          <w:sz w:val="28"/>
          <w:szCs w:val="28"/>
        </w:rPr>
        <w:t>(код ЄДРПОУ 41286292)</w:t>
      </w:r>
      <w:r w:rsidRPr="00D5340F">
        <w:rPr>
          <w:rFonts w:ascii="Times New Roman" w:hAnsi="Times New Roman" w:cs="Times New Roman"/>
          <w:color w:val="333333"/>
          <w:sz w:val="28"/>
          <w:szCs w:val="28"/>
          <w:highlight w:val="white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протягом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24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місяців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завершення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будівництва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розміщення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передбаченого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п. 1.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але не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пізніше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шість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місяців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припинення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скасування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воєнного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стану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забезпечити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оформлення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речових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прав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зазначену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земельну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ділянку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розроблення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затвердження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проектної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документації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звіту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результати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проведення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експертизи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проектної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документації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будівництво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об’єкта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сертифіката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прийняття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експлуатацію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закінченого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будівництвом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об’єкта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відповідно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D5340F">
        <w:rPr>
          <w:rFonts w:ascii="Times New Roman" w:hAnsi="Times New Roman" w:cs="Times New Roman"/>
          <w:color w:val="000000"/>
          <w:sz w:val="28"/>
          <w:szCs w:val="28"/>
        </w:rPr>
        <w:t>законодавства</w:t>
      </w:r>
      <w:proofErr w:type="spellEnd"/>
      <w:r w:rsidRPr="00D5340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4726A" w:rsidRPr="00652646" w:rsidRDefault="00EF1B6D" w:rsidP="00D5340F">
      <w:pPr>
        <w:pStyle w:val="a7"/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264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</w:p>
    <w:p w:rsidR="001C06E3" w:rsidRPr="00D5340F" w:rsidRDefault="00C4726A" w:rsidP="00D5340F">
      <w:pPr>
        <w:pStyle w:val="a7"/>
        <w:numPr>
          <w:ilvl w:val="0"/>
          <w:numId w:val="8"/>
        </w:numPr>
        <w:tabs>
          <w:tab w:val="left" w:pos="709"/>
        </w:tabs>
        <w:spacing w:after="0"/>
        <w:ind w:left="0" w:right="-2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5340F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D5340F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40F">
        <w:rPr>
          <w:rFonts w:ascii="Times New Roman" w:hAnsi="Times New Roman" w:cs="Times New Roman"/>
          <w:sz w:val="28"/>
          <w:szCs w:val="28"/>
        </w:rPr>
        <w:t>даног</w:t>
      </w:r>
      <w:r w:rsidR="001C06E3" w:rsidRPr="00D5340F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C06E3" w:rsidRPr="00D5340F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1C06E3" w:rsidRPr="00D5340F">
        <w:rPr>
          <w:rFonts w:ascii="Times New Roman" w:hAnsi="Times New Roman" w:cs="Times New Roman"/>
          <w:sz w:val="28"/>
          <w:szCs w:val="28"/>
        </w:rPr>
        <w:t xml:space="preserve"> </w:t>
      </w:r>
      <w:r w:rsidR="001C06E3" w:rsidRPr="00D5340F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18492A" w:rsidRPr="00652646" w:rsidRDefault="0018492A" w:rsidP="00D5340F">
      <w:pPr>
        <w:spacing w:after="0"/>
        <w:ind w:left="714" w:right="3542"/>
        <w:contextualSpacing/>
        <w:jc w:val="both"/>
        <w:rPr>
          <w:rFonts w:ascii="Times New Roman" w:hAnsi="Times New Roman" w:cs="Times New Roman"/>
          <w:color w:val="212529"/>
          <w:sz w:val="28"/>
          <w:szCs w:val="28"/>
          <w:lang w:val="uk-UA"/>
        </w:rPr>
      </w:pPr>
    </w:p>
    <w:p w:rsidR="00652646" w:rsidRPr="00652646" w:rsidRDefault="00652646" w:rsidP="00280B20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Pr="00652646" w:rsidRDefault="0018492A" w:rsidP="00280B20">
      <w:pPr>
        <w:tabs>
          <w:tab w:val="left" w:pos="250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80B20"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Анатолій ФЕДОРУК</w:t>
      </w: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C06E3" w:rsidRDefault="001C06E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012A" w:rsidRDefault="009E012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992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2977"/>
        <w:gridCol w:w="3118"/>
      </w:tblGrid>
      <w:tr w:rsidR="00080B41" w:rsidRPr="005C1201" w:rsidTr="001A6C2E">
        <w:trPr>
          <w:trHeight w:val="1534"/>
        </w:trPr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bookmarkStart w:id="2" w:name="_Hlk173219912"/>
            <w:r w:rsidRPr="00280B20">
              <w:rPr>
                <w:bCs/>
                <w:sz w:val="26"/>
                <w:szCs w:val="26"/>
              </w:rPr>
              <w:lastRenderedPageBreak/>
              <w:t>Заступник міського голови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i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1A6C2E">
            <w:pPr>
              <w:pStyle w:val="a6"/>
              <w:spacing w:before="0" w:beforeAutospacing="0" w:after="0" w:afterAutospacing="0"/>
              <w:ind w:left="58"/>
              <w:rPr>
                <w:sz w:val="26"/>
                <w:szCs w:val="26"/>
              </w:rPr>
            </w:pPr>
          </w:p>
          <w:p w:rsidR="00080B41" w:rsidRPr="001A6C2E" w:rsidRDefault="001A6C2E" w:rsidP="001A6C2E">
            <w:pPr>
              <w:pStyle w:val="a6"/>
              <w:spacing w:before="0" w:beforeAutospacing="0" w:after="0" w:afterAutospacing="0"/>
              <w:ind w:left="58"/>
              <w:rPr>
                <w:bCs/>
                <w:color w:val="FF0000"/>
                <w:sz w:val="26"/>
                <w:szCs w:val="26"/>
              </w:rPr>
            </w:pPr>
            <w:r w:rsidRPr="001A6C2E">
              <w:rPr>
                <w:bCs/>
                <w:sz w:val="26"/>
                <w:szCs w:val="26"/>
              </w:rPr>
              <w:t>Олександра СТАРКОВА</w:t>
            </w:r>
          </w:p>
        </w:tc>
      </w:tr>
      <w:tr w:rsidR="00D92B3B" w:rsidRPr="005C1201" w:rsidTr="001A6C2E">
        <w:trPr>
          <w:trHeight w:val="1534"/>
        </w:trPr>
        <w:tc>
          <w:tcPr>
            <w:tcW w:w="3828" w:type="dxa"/>
          </w:tcPr>
          <w:p w:rsidR="001A6C2E" w:rsidRDefault="001A6C2E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</w:p>
          <w:p w:rsidR="00D92B3B" w:rsidRPr="00280B20" w:rsidRDefault="00D92B3B" w:rsidP="00D92B3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Начальник управління</w:t>
            </w:r>
          </w:p>
          <w:p w:rsidR="00D92B3B" w:rsidRPr="00280B20" w:rsidRDefault="00D92B3B" w:rsidP="00D92B3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</w:pPr>
            <w:r w:rsidRPr="00280B20">
              <w:rPr>
                <w:rFonts w:ascii="Times New Roman" w:hAnsi="Times New Roman" w:cs="Times New Roman"/>
                <w:bCs/>
                <w:sz w:val="26"/>
                <w:szCs w:val="26"/>
                <w:lang w:val="hr-HR"/>
              </w:rPr>
              <w:t>юридично-кадрової роботи</w:t>
            </w:r>
          </w:p>
          <w:p w:rsidR="00D92B3B" w:rsidRPr="00280B20" w:rsidRDefault="00D92B3B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</w:tcPr>
          <w:p w:rsidR="001A6C2E" w:rsidRDefault="001A6C2E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1A6C2E" w:rsidRDefault="001A6C2E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hAnsi="Times New Roman" w:cs="Times New Roman"/>
                <w:lang w:val="hr-HR" w:eastAsia="uk-UA"/>
              </w:rPr>
            </w:pPr>
          </w:p>
          <w:p w:rsidR="00D92B3B" w:rsidRPr="00280B20" w:rsidRDefault="00D92B3B" w:rsidP="00D92B3B">
            <w:pPr>
              <w:widowControl w:val="0"/>
              <w:tabs>
                <w:tab w:val="left" w:pos="326"/>
                <w:tab w:val="left" w:pos="710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hAnsi="Times New Roman" w:cs="Times New Roman"/>
                <w:lang w:val="hr-HR" w:eastAsia="uk-UA"/>
              </w:rPr>
              <w:t>__________________</w:t>
            </w:r>
            <w:r w:rsidRPr="00280B20">
              <w:rPr>
                <w:rFonts w:ascii="Times New Roman" w:hAnsi="Times New Roman" w:cs="Times New Roman"/>
                <w:lang w:eastAsia="uk-UA"/>
              </w:rPr>
              <w:t xml:space="preserve">   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D92B3B" w:rsidRPr="00280B20" w:rsidRDefault="00D92B3B" w:rsidP="00D92B3B">
            <w:pPr>
              <w:widowControl w:val="0"/>
              <w:tabs>
                <w:tab w:val="left" w:pos="326"/>
              </w:tabs>
              <w:overflowPunct w:val="0"/>
              <w:autoSpaceDE w:val="0"/>
              <w:autoSpaceDN w:val="0"/>
              <w:adjustRightInd w:val="0"/>
              <w:ind w:left="184"/>
              <w:jc w:val="center"/>
              <w:rPr>
                <w:rFonts w:ascii="Times New Roman" w:hAnsi="Times New Roman" w:cs="Times New Roman"/>
                <w:i/>
                <w:lang w:val="hr-HR" w:eastAsia="uk-UA"/>
              </w:rPr>
            </w:pPr>
            <w:r w:rsidRPr="00280B20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D92B3B" w:rsidRPr="00280B20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3118" w:type="dxa"/>
          </w:tcPr>
          <w:p w:rsidR="001A6C2E" w:rsidRDefault="001A6C2E" w:rsidP="001A6C2E">
            <w:pPr>
              <w:pStyle w:val="a6"/>
              <w:spacing w:before="0" w:beforeAutospacing="0" w:after="0" w:afterAutospacing="0"/>
              <w:ind w:left="58"/>
              <w:rPr>
                <w:sz w:val="26"/>
                <w:szCs w:val="26"/>
                <w:lang w:val="hr-HR"/>
              </w:rPr>
            </w:pPr>
          </w:p>
          <w:p w:rsidR="001A6C2E" w:rsidRDefault="001A6C2E" w:rsidP="001A6C2E">
            <w:pPr>
              <w:pStyle w:val="a6"/>
              <w:spacing w:before="0" w:beforeAutospacing="0" w:after="0" w:afterAutospacing="0"/>
              <w:ind w:left="58"/>
              <w:rPr>
                <w:sz w:val="26"/>
                <w:szCs w:val="26"/>
                <w:lang w:val="hr-HR"/>
              </w:rPr>
            </w:pPr>
          </w:p>
          <w:p w:rsidR="00D92B3B" w:rsidRPr="00280B20" w:rsidRDefault="00D92B3B" w:rsidP="001A6C2E">
            <w:pPr>
              <w:pStyle w:val="a6"/>
              <w:spacing w:before="0" w:beforeAutospacing="0" w:after="0" w:afterAutospacing="0"/>
              <w:ind w:left="58"/>
              <w:rPr>
                <w:sz w:val="26"/>
                <w:szCs w:val="26"/>
              </w:rPr>
            </w:pPr>
            <w:r w:rsidRPr="00280B20">
              <w:rPr>
                <w:sz w:val="26"/>
                <w:szCs w:val="26"/>
                <w:lang w:val="hr-HR"/>
              </w:rPr>
              <w:t>Людмила РИЖЕНКО</w:t>
            </w:r>
          </w:p>
        </w:tc>
      </w:tr>
      <w:tr w:rsidR="00080B41" w:rsidRPr="005C1201" w:rsidTr="001A6C2E">
        <w:trPr>
          <w:trHeight w:val="1401"/>
        </w:trPr>
        <w:tc>
          <w:tcPr>
            <w:tcW w:w="3828" w:type="dxa"/>
          </w:tcPr>
          <w:p w:rsidR="001A6C2E" w:rsidRDefault="001A6C2E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Начальник відділу- </w:t>
            </w:r>
          </w:p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 xml:space="preserve">головний бухгалтер                    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1A6C2E" w:rsidRDefault="001A6C2E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i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i/>
                <w:color w:val="FF0000"/>
                <w:sz w:val="22"/>
                <w:szCs w:val="22"/>
              </w:rPr>
            </w:pP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</w:tcPr>
          <w:p w:rsidR="00080B41" w:rsidRPr="00280B20" w:rsidRDefault="00080B41" w:rsidP="001A6C2E">
            <w:pPr>
              <w:pStyle w:val="a6"/>
              <w:spacing w:before="0" w:beforeAutospacing="0" w:after="0" w:afterAutospacing="0"/>
              <w:ind w:left="58"/>
              <w:rPr>
                <w:sz w:val="26"/>
                <w:szCs w:val="26"/>
              </w:rPr>
            </w:pPr>
          </w:p>
          <w:p w:rsidR="001A6C2E" w:rsidRDefault="001A6C2E" w:rsidP="001A6C2E">
            <w:pPr>
              <w:pStyle w:val="a6"/>
              <w:spacing w:before="0" w:beforeAutospacing="0" w:after="0" w:afterAutospacing="0"/>
              <w:ind w:left="58"/>
              <w:rPr>
                <w:sz w:val="26"/>
                <w:szCs w:val="26"/>
              </w:rPr>
            </w:pPr>
          </w:p>
          <w:p w:rsidR="00080B41" w:rsidRPr="00280B20" w:rsidRDefault="00080B41" w:rsidP="001A6C2E">
            <w:pPr>
              <w:pStyle w:val="a6"/>
              <w:spacing w:before="0" w:beforeAutospacing="0" w:after="0" w:afterAutospacing="0"/>
              <w:ind w:left="58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Світлана ЯКУБЕНКО</w:t>
            </w:r>
          </w:p>
        </w:tc>
      </w:tr>
      <w:tr w:rsidR="00080B41" w:rsidRPr="005C1201" w:rsidTr="001A6C2E">
        <w:tc>
          <w:tcPr>
            <w:tcW w:w="3828" w:type="dxa"/>
          </w:tcPr>
          <w:p w:rsidR="00080B41" w:rsidRPr="00280B20" w:rsidRDefault="00080B41" w:rsidP="0039535C">
            <w:pPr>
              <w:pStyle w:val="a6"/>
              <w:spacing w:before="0" w:beforeAutospacing="0" w:after="0" w:afterAutospacing="0"/>
              <w:rPr>
                <w:bCs/>
                <w:sz w:val="26"/>
                <w:szCs w:val="26"/>
              </w:rPr>
            </w:pPr>
            <w:r w:rsidRPr="00280B20">
              <w:rPr>
                <w:bCs/>
                <w:sz w:val="26"/>
                <w:szCs w:val="26"/>
              </w:rPr>
              <w:t>Начальник відділу житлово-комунальної інфраструктури</w:t>
            </w:r>
            <w:r w:rsidR="00D92B3B">
              <w:rPr>
                <w:bCs/>
                <w:sz w:val="26"/>
                <w:szCs w:val="26"/>
              </w:rPr>
              <w:t xml:space="preserve"> </w:t>
            </w:r>
            <w:r w:rsidR="00D92B3B" w:rsidRPr="003259B5">
              <w:rPr>
                <w:rStyle w:val="2283"/>
                <w:color w:val="000000"/>
                <w:sz w:val="28"/>
              </w:rPr>
              <w:t>управління</w:t>
            </w:r>
            <w:r w:rsidR="00D92B3B" w:rsidRPr="003259B5">
              <w:rPr>
                <w:color w:val="000000"/>
                <w:sz w:val="28"/>
              </w:rPr>
              <w:t> житлово-комунального господарства та благоустрою</w:t>
            </w:r>
          </w:p>
        </w:tc>
        <w:tc>
          <w:tcPr>
            <w:tcW w:w="2977" w:type="dxa"/>
          </w:tcPr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D92B3B" w:rsidRDefault="00D92B3B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__________________ (</w:t>
            </w:r>
            <w:r w:rsidRPr="00280B20">
              <w:rPr>
                <w:rFonts w:ascii="Times New Roman" w:eastAsia="Times New Roman" w:hAnsi="Times New Roman" w:cs="Times New Roman"/>
                <w:i/>
                <w:lang w:eastAsia="uk-UA"/>
              </w:rPr>
              <w:t>Особистий підпис</w:t>
            </w: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 xml:space="preserve"> )</w:t>
            </w:r>
          </w:p>
          <w:p w:rsidR="00080B41" w:rsidRPr="00280B20" w:rsidRDefault="00080B41" w:rsidP="0039535C">
            <w:pPr>
              <w:widowControl w:val="0"/>
              <w:tabs>
                <w:tab w:val="left" w:pos="326"/>
              </w:tabs>
              <w:ind w:left="184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280B20">
              <w:rPr>
                <w:rFonts w:ascii="Times New Roman" w:eastAsia="Times New Roman" w:hAnsi="Times New Roman" w:cs="Times New Roman"/>
                <w:lang w:eastAsia="uk-UA"/>
              </w:rPr>
              <w:t>_______</w:t>
            </w:r>
          </w:p>
          <w:p w:rsidR="00080B41" w:rsidRPr="00280B20" w:rsidRDefault="00080B41" w:rsidP="0039535C">
            <w:pPr>
              <w:pStyle w:val="a6"/>
              <w:tabs>
                <w:tab w:val="left" w:pos="326"/>
              </w:tabs>
              <w:spacing w:before="0" w:beforeAutospacing="0" w:after="0" w:afterAutospacing="0"/>
              <w:ind w:left="184"/>
              <w:jc w:val="center"/>
              <w:rPr>
                <w:bCs/>
                <w:color w:val="FF0000"/>
                <w:sz w:val="22"/>
                <w:szCs w:val="22"/>
              </w:rPr>
            </w:pPr>
            <w:r w:rsidRPr="00280B20">
              <w:rPr>
                <w:i/>
                <w:sz w:val="22"/>
                <w:szCs w:val="22"/>
              </w:rPr>
              <w:t>(дата)</w:t>
            </w:r>
          </w:p>
        </w:tc>
        <w:tc>
          <w:tcPr>
            <w:tcW w:w="3118" w:type="dxa"/>
          </w:tcPr>
          <w:p w:rsidR="00080B41" w:rsidRPr="00280B20" w:rsidRDefault="00080B41" w:rsidP="001A6C2E">
            <w:pPr>
              <w:pStyle w:val="a6"/>
              <w:spacing w:before="0" w:beforeAutospacing="0" w:after="0" w:afterAutospacing="0"/>
              <w:ind w:left="58"/>
              <w:rPr>
                <w:sz w:val="26"/>
                <w:szCs w:val="26"/>
              </w:rPr>
            </w:pPr>
          </w:p>
          <w:p w:rsidR="00D92B3B" w:rsidRDefault="00D92B3B" w:rsidP="001A6C2E">
            <w:pPr>
              <w:pStyle w:val="a6"/>
              <w:spacing w:before="0" w:beforeAutospacing="0" w:after="0" w:afterAutospacing="0"/>
              <w:ind w:left="58"/>
              <w:rPr>
                <w:sz w:val="26"/>
                <w:szCs w:val="26"/>
              </w:rPr>
            </w:pPr>
          </w:p>
          <w:p w:rsidR="00D92B3B" w:rsidRDefault="00D92B3B" w:rsidP="001A6C2E">
            <w:pPr>
              <w:pStyle w:val="a6"/>
              <w:spacing w:before="0" w:beforeAutospacing="0" w:after="0" w:afterAutospacing="0"/>
              <w:ind w:left="58"/>
              <w:rPr>
                <w:sz w:val="26"/>
                <w:szCs w:val="26"/>
              </w:rPr>
            </w:pPr>
          </w:p>
          <w:p w:rsidR="00080B41" w:rsidRPr="00280B20" w:rsidRDefault="00080B41" w:rsidP="001A6C2E">
            <w:pPr>
              <w:pStyle w:val="a6"/>
              <w:spacing w:before="0" w:beforeAutospacing="0" w:after="0" w:afterAutospacing="0"/>
              <w:ind w:left="58"/>
              <w:rPr>
                <w:bCs/>
                <w:color w:val="FF0000"/>
                <w:sz w:val="26"/>
                <w:szCs w:val="26"/>
              </w:rPr>
            </w:pPr>
            <w:r w:rsidRPr="00280B20">
              <w:rPr>
                <w:sz w:val="26"/>
                <w:szCs w:val="26"/>
              </w:rPr>
              <w:t>Юлія САМСОНОВА</w:t>
            </w:r>
          </w:p>
        </w:tc>
      </w:tr>
      <w:bookmarkEnd w:id="2"/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Default="00930A97" w:rsidP="0018492A"/>
    <w:sectPr w:rsidR="00930A97" w:rsidSect="0065264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11278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8135DA"/>
    <w:multiLevelType w:val="hybridMultilevel"/>
    <w:tmpl w:val="EF90FFC2"/>
    <w:lvl w:ilvl="0" w:tplc="3E2EBBD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67D49"/>
    <w:multiLevelType w:val="multilevel"/>
    <w:tmpl w:val="7FE26A6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77C3D3D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21EC0"/>
    <w:rsid w:val="00070F6A"/>
    <w:rsid w:val="00080B41"/>
    <w:rsid w:val="000A13D7"/>
    <w:rsid w:val="000B131A"/>
    <w:rsid w:val="000C59E0"/>
    <w:rsid w:val="000D4ACE"/>
    <w:rsid w:val="001061B2"/>
    <w:rsid w:val="001459F7"/>
    <w:rsid w:val="00145D64"/>
    <w:rsid w:val="00170215"/>
    <w:rsid w:val="001813F1"/>
    <w:rsid w:val="0018492A"/>
    <w:rsid w:val="00196BE1"/>
    <w:rsid w:val="001A6C2E"/>
    <w:rsid w:val="001C06E3"/>
    <w:rsid w:val="001D2853"/>
    <w:rsid w:val="001D39FB"/>
    <w:rsid w:val="001D3A2F"/>
    <w:rsid w:val="00205B05"/>
    <w:rsid w:val="00243EA0"/>
    <w:rsid w:val="0024676B"/>
    <w:rsid w:val="00280B20"/>
    <w:rsid w:val="002822D6"/>
    <w:rsid w:val="00292981"/>
    <w:rsid w:val="002A6B7C"/>
    <w:rsid w:val="002C13C7"/>
    <w:rsid w:val="002F6773"/>
    <w:rsid w:val="00320853"/>
    <w:rsid w:val="0034568C"/>
    <w:rsid w:val="003646CB"/>
    <w:rsid w:val="003922AC"/>
    <w:rsid w:val="003B122F"/>
    <w:rsid w:val="004078CE"/>
    <w:rsid w:val="004376B9"/>
    <w:rsid w:val="0046799E"/>
    <w:rsid w:val="004848DA"/>
    <w:rsid w:val="004B2FE9"/>
    <w:rsid w:val="005037D9"/>
    <w:rsid w:val="00504CB8"/>
    <w:rsid w:val="005131F8"/>
    <w:rsid w:val="0051661C"/>
    <w:rsid w:val="00545153"/>
    <w:rsid w:val="00575C7C"/>
    <w:rsid w:val="00580A11"/>
    <w:rsid w:val="005C1201"/>
    <w:rsid w:val="005E31FF"/>
    <w:rsid w:val="005E7768"/>
    <w:rsid w:val="005F26AE"/>
    <w:rsid w:val="00601C4D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D7591"/>
    <w:rsid w:val="006F616A"/>
    <w:rsid w:val="00724694"/>
    <w:rsid w:val="0075121F"/>
    <w:rsid w:val="00751D37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9E012A"/>
    <w:rsid w:val="00A07572"/>
    <w:rsid w:val="00A200AC"/>
    <w:rsid w:val="00A4050E"/>
    <w:rsid w:val="00A546EA"/>
    <w:rsid w:val="00A7101D"/>
    <w:rsid w:val="00A7228D"/>
    <w:rsid w:val="00AC4922"/>
    <w:rsid w:val="00BB6BE7"/>
    <w:rsid w:val="00BC03D8"/>
    <w:rsid w:val="00BD13D7"/>
    <w:rsid w:val="00C25D24"/>
    <w:rsid w:val="00C4726A"/>
    <w:rsid w:val="00C50F3C"/>
    <w:rsid w:val="00C575C9"/>
    <w:rsid w:val="00C7632F"/>
    <w:rsid w:val="00CC17F0"/>
    <w:rsid w:val="00CC1ECB"/>
    <w:rsid w:val="00CD0ADA"/>
    <w:rsid w:val="00D069C0"/>
    <w:rsid w:val="00D20819"/>
    <w:rsid w:val="00D42DC2"/>
    <w:rsid w:val="00D52429"/>
    <w:rsid w:val="00D5340F"/>
    <w:rsid w:val="00D6080C"/>
    <w:rsid w:val="00D92B3B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5A26"/>
  <w15:docId w15:val="{B9B32879-3FBD-4F96-A2B3-748BE748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9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n0041525-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3168</Words>
  <Characters>1806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Administrator</cp:lastModifiedBy>
  <cp:revision>3</cp:revision>
  <cp:lastPrinted>2024-07-29T08:14:00Z</cp:lastPrinted>
  <dcterms:created xsi:type="dcterms:W3CDTF">2024-07-29T08:14:00Z</dcterms:created>
  <dcterms:modified xsi:type="dcterms:W3CDTF">2024-07-30T05:19:00Z</dcterms:modified>
</cp:coreProperties>
</file>